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C1BEB" w14:textId="77777777" w:rsidR="000969CD" w:rsidRPr="002D59F8" w:rsidRDefault="000969CD" w:rsidP="000969CD">
      <w:pPr>
        <w:spacing w:line="360" w:lineRule="auto"/>
        <w:ind w:right="-1"/>
        <w:jc w:val="center"/>
        <w:rPr>
          <w:color w:val="3E6CA4"/>
          <w:sz w:val="36"/>
          <w:szCs w:val="36"/>
        </w:rPr>
      </w:pPr>
      <w:bookmarkStart w:id="0" w:name="_Hlk208488640"/>
      <w:r w:rsidRPr="00F05672">
        <w:rPr>
          <w:noProof/>
          <w:color w:val="3E6CA4"/>
          <w:sz w:val="36"/>
          <w:szCs w:val="36"/>
        </w:rPr>
        <w:drawing>
          <wp:inline distT="0" distB="0" distL="0" distR="0" wp14:anchorId="1D4761A7" wp14:editId="5679F352">
            <wp:extent cx="5429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7EFA5" w14:textId="77777777" w:rsidR="000969CD" w:rsidRPr="002D59F8" w:rsidRDefault="000969CD" w:rsidP="000969CD">
      <w:pPr>
        <w:shd w:val="clear" w:color="auto" w:fill="FFFFFF"/>
        <w:jc w:val="center"/>
        <w:rPr>
          <w:b/>
          <w:color w:val="3E6CA4"/>
          <w:szCs w:val="28"/>
          <w:shd w:val="clear" w:color="auto" w:fill="FFFFFF"/>
        </w:rPr>
      </w:pPr>
      <w:r w:rsidRPr="002D59F8">
        <w:rPr>
          <w:b/>
          <w:color w:val="3E6CA4"/>
          <w:szCs w:val="28"/>
          <w:shd w:val="clear" w:color="auto" w:fill="FFFFFF"/>
        </w:rPr>
        <w:t>МОСКВА</w:t>
      </w:r>
    </w:p>
    <w:p w14:paraId="04E16EA7" w14:textId="77777777" w:rsidR="000969CD" w:rsidRPr="002D59F8" w:rsidRDefault="000969CD" w:rsidP="000969CD">
      <w:pPr>
        <w:shd w:val="clear" w:color="auto" w:fill="FFFFFF"/>
        <w:jc w:val="center"/>
        <w:rPr>
          <w:b/>
          <w:color w:val="3E6CA4"/>
          <w:szCs w:val="28"/>
          <w:shd w:val="clear" w:color="auto" w:fill="FFFFFF"/>
        </w:rPr>
      </w:pPr>
      <w:r w:rsidRPr="002D59F8">
        <w:rPr>
          <w:b/>
          <w:color w:val="3E6CA4"/>
          <w:szCs w:val="28"/>
          <w:shd w:val="clear" w:color="auto" w:fill="FFFFFF"/>
        </w:rPr>
        <w:t>СЕВЕРНЫЙ АДМИНИСТРАТИВНЫЙ ОКРУГ</w:t>
      </w:r>
    </w:p>
    <w:p w14:paraId="575EAABF" w14:textId="77777777" w:rsidR="000969CD" w:rsidRPr="002D59F8" w:rsidRDefault="000969CD" w:rsidP="000969CD">
      <w:pPr>
        <w:shd w:val="clear" w:color="auto" w:fill="FFFFFF"/>
        <w:spacing w:line="240" w:lineRule="atLeast"/>
        <w:jc w:val="center"/>
        <w:rPr>
          <w:b/>
          <w:bCs/>
          <w:color w:val="3E6CA4"/>
          <w:szCs w:val="28"/>
          <w:shd w:val="clear" w:color="auto" w:fill="FFFFFF"/>
        </w:rPr>
      </w:pPr>
      <w:r w:rsidRPr="002D59F8">
        <w:rPr>
          <w:b/>
          <w:bCs/>
          <w:color w:val="3E6CA4"/>
          <w:szCs w:val="28"/>
          <w:shd w:val="clear" w:color="auto" w:fill="FFFFFF"/>
        </w:rPr>
        <w:t>ГОСУДАРСТВЕННОЕ БЮДЖЕТНОЕ УЧРЕЖДЕНИЕ ГОРОДА МОСКВЫ</w:t>
      </w:r>
    </w:p>
    <w:p w14:paraId="65C9566C" w14:textId="77777777" w:rsidR="000969CD" w:rsidRPr="002D59F8" w:rsidRDefault="000969CD" w:rsidP="000969CD">
      <w:pPr>
        <w:shd w:val="clear" w:color="auto" w:fill="FFFFFF"/>
        <w:jc w:val="center"/>
        <w:rPr>
          <w:b/>
          <w:color w:val="3E6CA4"/>
          <w:sz w:val="36"/>
          <w:szCs w:val="36"/>
          <w:shd w:val="clear" w:color="auto" w:fill="FFFFFF"/>
        </w:rPr>
      </w:pPr>
      <w:r w:rsidRPr="002D59F8">
        <w:rPr>
          <w:b/>
          <w:color w:val="3E6CA4"/>
          <w:sz w:val="36"/>
          <w:szCs w:val="36"/>
          <w:shd w:val="clear" w:color="auto" w:fill="FFFFFF"/>
        </w:rPr>
        <w:t>«Жилищник района Беговой</w:t>
      </w:r>
      <w:r w:rsidRPr="002D59F8">
        <w:rPr>
          <w:bCs/>
          <w:color w:val="3E6CA4"/>
          <w:sz w:val="40"/>
          <w:szCs w:val="40"/>
          <w:shd w:val="clear" w:color="auto" w:fill="FFFFFF"/>
        </w:rPr>
        <w:t>»</w:t>
      </w:r>
    </w:p>
    <w:p w14:paraId="780562CB" w14:textId="77777777" w:rsidR="000969CD" w:rsidRPr="00F05672" w:rsidRDefault="000969CD" w:rsidP="000969CD">
      <w:pPr>
        <w:shd w:val="clear" w:color="auto" w:fill="FFFFFF"/>
        <w:jc w:val="center"/>
        <w:rPr>
          <w:b/>
          <w:iCs/>
          <w:color w:val="2F5496"/>
        </w:rPr>
      </w:pPr>
      <w:r w:rsidRPr="002D59F8">
        <w:rPr>
          <w:b/>
          <w:iCs/>
          <w:color w:val="3E6CA4"/>
          <w:shd w:val="clear" w:color="auto" w:fill="FFFFFF"/>
        </w:rPr>
        <w:t xml:space="preserve">Россия, 125124, Москва, ул. Расковой д., 14, тел.:8 (495) 613-52-27, </w:t>
      </w:r>
      <w:r w:rsidRPr="002D59F8">
        <w:rPr>
          <w:b/>
          <w:iCs/>
          <w:color w:val="3E6CA4"/>
          <w:shd w:val="clear" w:color="auto" w:fill="FFFFFF"/>
          <w:lang w:val="en-US"/>
        </w:rPr>
        <w:t>e</w:t>
      </w:r>
      <w:r w:rsidRPr="002D59F8">
        <w:rPr>
          <w:b/>
          <w:iCs/>
          <w:color w:val="3E6CA4"/>
          <w:shd w:val="clear" w:color="auto" w:fill="FFFFFF"/>
        </w:rPr>
        <w:t>-</w:t>
      </w:r>
      <w:r w:rsidRPr="002D59F8">
        <w:rPr>
          <w:b/>
          <w:iCs/>
          <w:color w:val="3E6CA4"/>
          <w:shd w:val="clear" w:color="auto" w:fill="FFFFFF"/>
          <w:lang w:val="en-US"/>
        </w:rPr>
        <w:t>mail</w:t>
      </w:r>
      <w:r w:rsidRPr="002D59F8">
        <w:rPr>
          <w:b/>
          <w:iCs/>
          <w:color w:val="3E6CA4"/>
          <w:shd w:val="clear" w:color="auto" w:fill="FFFFFF"/>
        </w:rPr>
        <w:t xml:space="preserve">: </w:t>
      </w:r>
      <w:proofErr w:type="spellStart"/>
      <w:r w:rsidRPr="002D59F8">
        <w:rPr>
          <w:b/>
          <w:iCs/>
          <w:color w:val="3E6CA4"/>
          <w:shd w:val="clear" w:color="auto" w:fill="FFFFFF"/>
          <w:lang w:val="en-US"/>
        </w:rPr>
        <w:t>gbu</w:t>
      </w:r>
      <w:proofErr w:type="spellEnd"/>
      <w:r w:rsidRPr="002D59F8">
        <w:rPr>
          <w:b/>
          <w:iCs/>
          <w:color w:val="3E6CA4"/>
          <w:shd w:val="clear" w:color="auto" w:fill="FFFFFF"/>
        </w:rPr>
        <w:t>-</w:t>
      </w:r>
      <w:r w:rsidRPr="002D59F8">
        <w:rPr>
          <w:b/>
          <w:iCs/>
          <w:color w:val="3E6CA4"/>
          <w:shd w:val="clear" w:color="auto" w:fill="FFFFFF"/>
          <w:lang w:val="en-US"/>
        </w:rPr>
        <w:t>beg</w:t>
      </w:r>
      <w:r w:rsidRPr="002D59F8">
        <w:rPr>
          <w:b/>
          <w:iCs/>
          <w:color w:val="3E6CA4"/>
          <w:shd w:val="clear" w:color="auto" w:fill="FFFFFF"/>
        </w:rPr>
        <w:t>@</w:t>
      </w:r>
      <w:proofErr w:type="spellStart"/>
      <w:r w:rsidRPr="002D59F8">
        <w:rPr>
          <w:b/>
          <w:iCs/>
          <w:color w:val="3E6CA4"/>
          <w:shd w:val="clear" w:color="auto" w:fill="FFFFFF"/>
          <w:lang w:val="en-US"/>
        </w:rPr>
        <w:t>pnao</w:t>
      </w:r>
      <w:proofErr w:type="spellEnd"/>
      <w:r w:rsidRPr="002D59F8">
        <w:rPr>
          <w:b/>
          <w:iCs/>
          <w:color w:val="3E6CA4"/>
          <w:shd w:val="clear" w:color="auto" w:fill="FFFFFF"/>
        </w:rPr>
        <w:t>.</w:t>
      </w:r>
      <w:proofErr w:type="spellStart"/>
      <w:r w:rsidRPr="002D59F8">
        <w:rPr>
          <w:b/>
          <w:iCs/>
          <w:color w:val="3E6CA4"/>
          <w:shd w:val="clear" w:color="auto" w:fill="FFFFFF"/>
          <w:lang w:val="en-US"/>
        </w:rPr>
        <w:t>mos</w:t>
      </w:r>
      <w:proofErr w:type="spellEnd"/>
      <w:r w:rsidRPr="002D59F8">
        <w:rPr>
          <w:b/>
          <w:iCs/>
          <w:color w:val="3E6CA4"/>
          <w:shd w:val="clear" w:color="auto" w:fill="FFFFFF"/>
        </w:rPr>
        <w:t>.</w:t>
      </w:r>
      <w:proofErr w:type="spellStart"/>
      <w:r w:rsidRPr="002D59F8">
        <w:rPr>
          <w:b/>
          <w:iCs/>
          <w:color w:val="3E6CA4"/>
          <w:shd w:val="clear" w:color="auto" w:fill="FFFFFF"/>
          <w:lang w:val="en-US"/>
        </w:rPr>
        <w:t>ru</w:t>
      </w:r>
      <w:proofErr w:type="spellEnd"/>
      <w:r w:rsidRPr="00F05672">
        <w:rPr>
          <w:b/>
          <w:iCs/>
          <w:color w:val="2F5496"/>
        </w:rPr>
        <w:t xml:space="preserve"> </w:t>
      </w:r>
    </w:p>
    <w:p w14:paraId="01AC05BA" w14:textId="77777777" w:rsidR="000969CD" w:rsidRPr="002D59F8" w:rsidRDefault="000969CD" w:rsidP="000969CD">
      <w:pPr>
        <w:shd w:val="clear" w:color="auto" w:fill="FFFFFF"/>
        <w:spacing w:line="240" w:lineRule="exact"/>
        <w:jc w:val="center"/>
        <w:rPr>
          <w:b/>
          <w:iCs/>
          <w:color w:val="3E6CA4"/>
          <w:shd w:val="clear" w:color="auto" w:fill="FFFFFF"/>
        </w:rPr>
      </w:pPr>
      <w:r w:rsidRPr="002D59F8">
        <w:rPr>
          <w:b/>
          <w:iCs/>
          <w:color w:val="3E6CA4"/>
          <w:shd w:val="clear" w:color="auto" w:fill="FFFFFF"/>
        </w:rPr>
        <w:t>ИНН/КПП 7714343246/771401001, ОКПО 17762257, ОГРН 1157746528830</w:t>
      </w:r>
    </w:p>
    <w:p w14:paraId="3F646D56" w14:textId="77777777" w:rsidR="000969CD" w:rsidRPr="002D59F8" w:rsidRDefault="000969CD" w:rsidP="000969CD">
      <w:pPr>
        <w:ind w:right="-1"/>
        <w:jc w:val="both"/>
        <w:rPr>
          <w:color w:val="497DBB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F787EB6" wp14:editId="6CA1D180">
                <wp:simplePos x="0" y="0"/>
                <wp:positionH relativeFrom="column">
                  <wp:posOffset>24130</wp:posOffset>
                </wp:positionH>
                <wp:positionV relativeFrom="paragraph">
                  <wp:posOffset>86359</wp:posOffset>
                </wp:positionV>
                <wp:extent cx="6251575" cy="0"/>
                <wp:effectExtent l="38100" t="38100" r="73025" b="952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15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3719E33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9pt,6.8pt" to="494.1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" strokecolor="#4f81b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6EEFCFC" wp14:editId="696C0F29">
                <wp:simplePos x="0" y="0"/>
                <wp:positionH relativeFrom="column">
                  <wp:posOffset>24130</wp:posOffset>
                </wp:positionH>
                <wp:positionV relativeFrom="paragraph">
                  <wp:posOffset>161289</wp:posOffset>
                </wp:positionV>
                <wp:extent cx="625221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75C4B95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9pt,12.7pt" to="494.2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" strokecolor="#4a7ebb">
                <o:lock v:ext="edit" shapetype="f"/>
              </v:line>
            </w:pict>
          </mc:Fallback>
        </mc:AlternateContent>
      </w:r>
    </w:p>
    <w:p w14:paraId="0AC36200" w14:textId="77777777" w:rsidR="000969CD" w:rsidRPr="00F05672" w:rsidRDefault="000969CD" w:rsidP="000969CD">
      <w:pPr>
        <w:tabs>
          <w:tab w:val="left" w:pos="7125"/>
          <w:tab w:val="right" w:pos="10347"/>
        </w:tabs>
        <w:spacing w:line="240" w:lineRule="exact"/>
        <w:jc w:val="both"/>
        <w:rPr>
          <w:bCs/>
          <w:color w:val="2F5496"/>
          <w:sz w:val="24"/>
          <w:szCs w:val="24"/>
        </w:rPr>
      </w:pPr>
    </w:p>
    <w:p w14:paraId="049357BF" w14:textId="3DB9F9BE" w:rsidR="000969CD" w:rsidRDefault="000969CD" w:rsidP="000969CD">
      <w:pPr>
        <w:rPr>
          <w:b/>
          <w:bCs/>
          <w:szCs w:val="28"/>
        </w:rPr>
      </w:pPr>
      <w:r w:rsidRPr="00F05672">
        <w:rPr>
          <w:bCs/>
          <w:color w:val="2F5496"/>
          <w:sz w:val="24"/>
          <w:szCs w:val="24"/>
        </w:rPr>
        <w:t>____________№____________</w:t>
      </w:r>
      <w:r>
        <w:rPr>
          <w:bCs/>
          <w:color w:val="2F5496"/>
          <w:sz w:val="24"/>
          <w:szCs w:val="24"/>
        </w:rPr>
        <w:t xml:space="preserve">                         </w:t>
      </w:r>
      <w:r>
        <w:rPr>
          <w:b/>
          <w:bCs/>
          <w:szCs w:val="28"/>
        </w:rPr>
        <w:t xml:space="preserve"> </w:t>
      </w:r>
      <w:r w:rsidRPr="004241D8">
        <w:rPr>
          <w:b/>
          <w:bCs/>
          <w:szCs w:val="28"/>
        </w:rPr>
        <w:t xml:space="preserve">                  </w:t>
      </w:r>
    </w:p>
    <w:p w14:paraId="2399E147" w14:textId="416CFF1A" w:rsidR="000969CD" w:rsidRDefault="000969CD" w:rsidP="000969C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</w:t>
      </w:r>
    </w:p>
    <w:p w14:paraId="61641EAF" w14:textId="1353A531" w:rsidR="000969CD" w:rsidRDefault="000969CD" w:rsidP="000969C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</w:t>
      </w:r>
    </w:p>
    <w:p w14:paraId="58F9FAC3" w14:textId="6DD750AE" w:rsidR="000969CD" w:rsidRDefault="000969CD" w:rsidP="000969C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40B9A202" w14:textId="4B365022" w:rsidR="000969CD" w:rsidRPr="008843B3" w:rsidRDefault="000969CD" w:rsidP="000969CD">
      <w:pPr>
        <w:widowControl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b/>
          <w:kern w:val="2"/>
          <w:sz w:val="32"/>
          <w:szCs w:val="3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  <w:t xml:space="preserve">                                         </w:t>
      </w:r>
      <w:r w:rsidRPr="008843B3">
        <w:rPr>
          <w:rFonts w:asciiTheme="minorHAnsi" w:eastAsiaTheme="minorHAnsi" w:hAnsiTheme="minorHAnsi" w:cstheme="minorBidi"/>
          <w:b/>
          <w:kern w:val="2"/>
          <w:sz w:val="32"/>
          <w:szCs w:val="32"/>
          <w:lang w:eastAsia="en-US"/>
          <w14:ligatures w14:val="standardContextual"/>
        </w:rPr>
        <w:t>Уважаемые жители!</w:t>
      </w:r>
    </w:p>
    <w:p w14:paraId="2C8909DC" w14:textId="77777777" w:rsidR="000969CD" w:rsidRPr="000969CD" w:rsidRDefault="000969CD" w:rsidP="000969CD">
      <w:pPr>
        <w:widowControl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kern w:val="2"/>
          <w:sz w:val="32"/>
          <w:szCs w:val="32"/>
          <w:lang w:eastAsia="en-US"/>
          <w14:ligatures w14:val="standardContextual"/>
        </w:rPr>
      </w:pPr>
    </w:p>
    <w:p w14:paraId="204BFC50" w14:textId="77777777" w:rsidR="000969CD" w:rsidRPr="000969CD" w:rsidRDefault="000969CD" w:rsidP="008843B3">
      <w:pPr>
        <w:widowControl/>
        <w:autoSpaceDE/>
        <w:autoSpaceDN/>
        <w:adjustRightInd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</w:pPr>
      <w:bookmarkStart w:id="1" w:name="_GoBack"/>
      <w:r w:rsidRPr="000969CD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         </w:t>
      </w:r>
      <w:r w:rsidRPr="000969CD"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  <w:t>АО «Мосгаз» (далее также – Общество), как специализированная организация, проводит плановое обслуживание внутридомового и внутриквартирного газового оборудования в многоквартирном доме (далее – ВДГО и ВКГО) один раз в год на основании договоров, заключаемых с управляющими жилищным фондом организациями, и графиков проведения работ, согласованных с префектурой САО города Москвы.</w:t>
      </w:r>
    </w:p>
    <w:p w14:paraId="1E1B562B" w14:textId="77777777" w:rsidR="000969CD" w:rsidRPr="000969CD" w:rsidRDefault="000969CD" w:rsidP="008843B3">
      <w:pPr>
        <w:widowControl/>
        <w:autoSpaceDE/>
        <w:autoSpaceDN/>
        <w:adjustRightInd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</w:pPr>
      <w:r w:rsidRPr="000969CD"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  <w:t xml:space="preserve">          В настоящее время в Обществе введен в промышленную эксплуатацию комплекс задач «Мобильное приложение к комплексу задач «Формирование данных по ВДГО» (далее – мобильное приложение). В мобильном приложении при проведении ТО ВДГО и ВКГО фиксируются данные о газоиспользующим оборудовании, установленном в </w:t>
      </w:r>
      <w:proofErr w:type="spellStart"/>
      <w:r w:rsidRPr="000969CD"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  <w:t>газифизированных</w:t>
      </w:r>
      <w:proofErr w:type="spellEnd"/>
      <w:r w:rsidRPr="000969CD"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  <w:t xml:space="preserve"> квартирах многоквартирного дома, а также подписи лиц, получивших инструктаж и ознакомленных с требованием Инструкции по безопасному использованию газа при удовлетворении коммунально-бытовых нужд, утвержденной приказом Минстроя России от 05.12.2017 № 1614,пр (далее – Инструкция).</w:t>
      </w:r>
    </w:p>
    <w:p w14:paraId="19C55F94" w14:textId="30430BAE" w:rsidR="000969CD" w:rsidRPr="000969CD" w:rsidRDefault="000969CD" w:rsidP="008843B3">
      <w:pPr>
        <w:widowControl/>
        <w:autoSpaceDE/>
        <w:autoSpaceDN/>
        <w:adjustRightInd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</w:pPr>
      <w:r w:rsidRPr="000969CD"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  <w:t xml:space="preserve">         Услуги по проведению инструктажа включены в минимальный перечень услуг (работ) по ТО ВДГО </w:t>
      </w:r>
      <w:r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  <w:t>и</w:t>
      </w:r>
      <w:r w:rsidRPr="000969CD"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  <w:t xml:space="preserve"> ВКГО, установленный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</w:t>
      </w:r>
      <w:r w:rsidRPr="000969CD"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  <w:lastRenderedPageBreak/>
        <w:t>предоставлении коммунальной услуги по газоснабжению, утвержденных постановлением Правительства Российской Федерации от 14.05.2013 № 410.</w:t>
      </w:r>
    </w:p>
    <w:p w14:paraId="43F06DD5" w14:textId="77777777" w:rsidR="000969CD" w:rsidRPr="000969CD" w:rsidRDefault="000969CD" w:rsidP="008843B3">
      <w:pPr>
        <w:widowControl/>
        <w:autoSpaceDE/>
        <w:autoSpaceDN/>
        <w:adjustRightInd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</w:pPr>
      <w:r w:rsidRPr="000969CD"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  <w:t xml:space="preserve">       Пункт 2.7 Инструкции устанавливает, что лица, прошедшие первичный инструктаж, регистрируются в журнале учета первичного инструктажа, ведение и хранение которого осуществляется исполнителем (специализированной организацией).</w:t>
      </w:r>
    </w:p>
    <w:p w14:paraId="79B25FA3" w14:textId="77777777" w:rsidR="000969CD" w:rsidRPr="000969CD" w:rsidRDefault="000969CD" w:rsidP="008843B3">
      <w:pPr>
        <w:widowControl/>
        <w:autoSpaceDE/>
        <w:autoSpaceDN/>
        <w:adjustRightInd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</w:pPr>
      <w:r w:rsidRPr="000969CD"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  <w:t xml:space="preserve">       Использование электронной графической подписи (далее – ЭПГ) в качестве подтверждения проведение (прохождения) инструктажа представляется возможным при условии соблюдения тех же принципов её проставления, что и при предоставлении собственноручной подписи на бумажном носителе.</w:t>
      </w:r>
    </w:p>
    <w:p w14:paraId="4B0BF98F" w14:textId="77777777" w:rsidR="000969CD" w:rsidRPr="000969CD" w:rsidRDefault="000969CD" w:rsidP="008843B3">
      <w:pPr>
        <w:widowControl/>
        <w:autoSpaceDE/>
        <w:autoSpaceDN/>
        <w:adjustRightInd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</w:pPr>
      <w:r w:rsidRPr="000969CD"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  <w:t xml:space="preserve">       ЭПГ может признаваться как собственноручной подписью (часть 2 статьи 68 Гражданского процессуального кодекса Российской Федерации), как аналогом собственноручной подписи (пункт 2 статьи 160 Гражданского кодекса Российской Федерации), так и простой электронной подписью (часть 2 статьи 5 Федерального закона от 06.04.2011 № 63 «Об электронной подписи).</w:t>
      </w:r>
    </w:p>
    <w:p w14:paraId="2571BAD8" w14:textId="77777777" w:rsidR="000969CD" w:rsidRPr="000969CD" w:rsidRDefault="000969CD" w:rsidP="008843B3">
      <w:pPr>
        <w:widowControl/>
        <w:autoSpaceDE/>
        <w:autoSpaceDN/>
        <w:adjustRightInd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</w:pPr>
      <w:r w:rsidRPr="000969CD">
        <w:rPr>
          <w:rFonts w:asciiTheme="minorHAnsi" w:eastAsiaTheme="minorHAnsi" w:hAnsiTheme="minorHAnsi" w:cstheme="minorBidi"/>
          <w:kern w:val="2"/>
          <w:szCs w:val="28"/>
          <w:lang w:eastAsia="en-US"/>
          <w14:ligatures w14:val="standardContextual"/>
        </w:rPr>
        <w:t xml:space="preserve">         Дополнительно напоминаем, что при проведении ТО ВДГО и ВКГО специалисты Общества одеты в форму синего цвета с надписью на куртке: «МОСГАЗ» с символикой общества. У каждого сотрудника имеется удостоверение (с фотографией, голограммой, логотипом АО «МОСГАЗ» и гербом Москвы), которое предъявляется при посещении квартир жителей.</w:t>
      </w:r>
    </w:p>
    <w:p w14:paraId="0915E6DB" w14:textId="77777777" w:rsidR="000969CD" w:rsidRDefault="000969CD" w:rsidP="008843B3">
      <w:pPr>
        <w:jc w:val="both"/>
        <w:rPr>
          <w:bCs/>
          <w:color w:val="2F5496"/>
          <w:sz w:val="24"/>
          <w:szCs w:val="24"/>
        </w:rPr>
      </w:pPr>
    </w:p>
    <w:p w14:paraId="28461522" w14:textId="77777777" w:rsidR="000969CD" w:rsidRDefault="000969CD" w:rsidP="008843B3">
      <w:pPr>
        <w:jc w:val="both"/>
        <w:rPr>
          <w:b/>
          <w:bCs/>
        </w:rPr>
      </w:pPr>
      <w:r>
        <w:rPr>
          <w:bCs/>
          <w:color w:val="2F5496"/>
          <w:sz w:val="24"/>
          <w:szCs w:val="24"/>
        </w:rPr>
        <w:t xml:space="preserve">                                                   </w:t>
      </w:r>
      <w:r>
        <w:rPr>
          <w:b/>
          <w:bCs/>
        </w:rPr>
        <w:t xml:space="preserve"> </w:t>
      </w:r>
    </w:p>
    <w:p w14:paraId="23A58E53" w14:textId="77777777" w:rsidR="000969CD" w:rsidRDefault="000969CD" w:rsidP="008843B3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</w:t>
      </w:r>
    </w:p>
    <w:p w14:paraId="2151B8E2" w14:textId="13AF87C3" w:rsidR="000969CD" w:rsidRDefault="000969CD" w:rsidP="008843B3">
      <w:pPr>
        <w:jc w:val="both"/>
        <w:rPr>
          <w:b/>
          <w:bCs/>
        </w:rPr>
      </w:pPr>
      <w:r>
        <w:rPr>
          <w:b/>
          <w:bCs/>
        </w:rPr>
        <w:t xml:space="preserve">   ПТО «Жилищник района Беговой»                                                                      </w:t>
      </w:r>
      <w:bookmarkEnd w:id="1"/>
    </w:p>
    <w:p w14:paraId="572E6874" w14:textId="77777777" w:rsidR="000969CD" w:rsidRPr="0080761D" w:rsidRDefault="000969CD" w:rsidP="000969C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 w:rsidRPr="0080761D">
        <w:rPr>
          <w:b/>
          <w:bCs/>
        </w:rPr>
        <w:tab/>
      </w:r>
      <w:r w:rsidRPr="0080761D">
        <w:rPr>
          <w:b/>
          <w:bCs/>
        </w:rPr>
        <w:tab/>
      </w:r>
      <w:r w:rsidRPr="0080761D">
        <w:rPr>
          <w:b/>
          <w:bCs/>
        </w:rPr>
        <w:tab/>
      </w:r>
      <w:r w:rsidRPr="0080761D">
        <w:rPr>
          <w:b/>
          <w:bCs/>
        </w:rPr>
        <w:tab/>
      </w:r>
      <w:r w:rsidRPr="0080761D">
        <w:rPr>
          <w:b/>
          <w:bCs/>
        </w:rPr>
        <w:tab/>
      </w:r>
      <w:r w:rsidRPr="0080761D">
        <w:rPr>
          <w:b/>
          <w:bCs/>
        </w:rPr>
        <w:tab/>
      </w:r>
      <w:r w:rsidRPr="0080761D">
        <w:rPr>
          <w:b/>
          <w:bCs/>
        </w:rPr>
        <w:tab/>
      </w:r>
    </w:p>
    <w:p w14:paraId="2A6A0661" w14:textId="77777777" w:rsidR="000969CD" w:rsidRDefault="000969CD" w:rsidP="000969CD"/>
    <w:p w14:paraId="408381B8" w14:textId="2EA04187" w:rsidR="000969CD" w:rsidRDefault="000969CD" w:rsidP="000969CD">
      <w:pPr>
        <w:rPr>
          <w:b/>
          <w:bCs/>
        </w:rPr>
      </w:pPr>
      <w:r w:rsidRPr="0080761D">
        <w:rPr>
          <w:b/>
          <w:bCs/>
        </w:rPr>
        <w:t xml:space="preserve"> </w:t>
      </w:r>
    </w:p>
    <w:p w14:paraId="10143874" w14:textId="77777777" w:rsidR="000969CD" w:rsidRPr="0080761D" w:rsidRDefault="000969CD" w:rsidP="000969CD">
      <w:pPr>
        <w:jc w:val="center"/>
        <w:rPr>
          <w:b/>
          <w:bCs/>
        </w:rPr>
      </w:pPr>
    </w:p>
    <w:p w14:paraId="72C66DFD" w14:textId="77777777" w:rsidR="000969CD" w:rsidRDefault="000969CD" w:rsidP="000969CD">
      <w:pPr>
        <w:jc w:val="both"/>
      </w:pPr>
    </w:p>
    <w:p w14:paraId="78D05574" w14:textId="2159F2DB" w:rsidR="000969CD" w:rsidRDefault="000969CD" w:rsidP="000969CD">
      <w:pPr>
        <w:jc w:val="both"/>
      </w:pPr>
      <w:r>
        <w:tab/>
        <w:t xml:space="preserve"> </w:t>
      </w:r>
    </w:p>
    <w:p w14:paraId="6B6B4091" w14:textId="77777777" w:rsidR="000969CD" w:rsidRDefault="000969CD" w:rsidP="000969CD">
      <w:pPr>
        <w:jc w:val="both"/>
      </w:pPr>
    </w:p>
    <w:p w14:paraId="0C98FD94" w14:textId="77777777" w:rsidR="000969CD" w:rsidRDefault="000969CD" w:rsidP="000969CD">
      <w:pPr>
        <w:jc w:val="both"/>
      </w:pPr>
    </w:p>
    <w:p w14:paraId="6444D6D4" w14:textId="77777777" w:rsidR="000969CD" w:rsidRDefault="000969CD" w:rsidP="000969CD">
      <w:pPr>
        <w:jc w:val="both"/>
      </w:pPr>
      <w:r>
        <w:t xml:space="preserve"> </w:t>
      </w:r>
    </w:p>
    <w:p w14:paraId="3FF26878" w14:textId="77777777" w:rsidR="000969CD" w:rsidRDefault="000969CD" w:rsidP="000969CD">
      <w:pPr>
        <w:jc w:val="both"/>
      </w:pPr>
    </w:p>
    <w:p w14:paraId="519E9B2F" w14:textId="77777777" w:rsidR="000969CD" w:rsidRDefault="000969CD" w:rsidP="000969CD">
      <w:pPr>
        <w:jc w:val="both"/>
      </w:pPr>
    </w:p>
    <w:p w14:paraId="4CB440E0" w14:textId="77777777" w:rsidR="000969CD" w:rsidRDefault="000969CD" w:rsidP="000969CD">
      <w:pPr>
        <w:jc w:val="both"/>
      </w:pPr>
      <w:r>
        <w:t xml:space="preserve">                    </w:t>
      </w:r>
    </w:p>
    <w:bookmarkEnd w:id="0"/>
    <w:p w14:paraId="6CD0A0AF" w14:textId="3DFD11D0" w:rsidR="000969CD" w:rsidRPr="001F6440" w:rsidRDefault="000969CD" w:rsidP="000969CD">
      <w:pPr>
        <w:jc w:val="both"/>
        <w:rPr>
          <w:b/>
          <w:bCs/>
        </w:rPr>
      </w:pPr>
    </w:p>
    <w:sectPr w:rsidR="000969CD" w:rsidRPr="001F6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CD"/>
    <w:rsid w:val="000969CD"/>
    <w:rsid w:val="00324895"/>
    <w:rsid w:val="0088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6784"/>
  <w15:chartTrackingRefBased/>
  <w15:docId w15:val="{03DF32BB-01CE-4580-991D-17865783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forbusiness86@gmail.com</dc:creator>
  <cp:keywords/>
  <dc:description/>
  <cp:lastModifiedBy>User</cp:lastModifiedBy>
  <cp:revision>2</cp:revision>
  <dcterms:created xsi:type="dcterms:W3CDTF">2025-11-13T10:42:00Z</dcterms:created>
  <dcterms:modified xsi:type="dcterms:W3CDTF">2025-11-13T10:42:00Z</dcterms:modified>
</cp:coreProperties>
</file>